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514E" w14:textId="21257090" w:rsidR="00D47F20" w:rsidRPr="001D0AC7" w:rsidRDefault="00D47F20" w:rsidP="001D0AC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Gill Sans MT" w:hAnsi="Gill Sans MT" w:cs="Calibri"/>
          <w:sz w:val="30"/>
          <w:szCs w:val="30"/>
        </w:rPr>
      </w:pPr>
      <w:r w:rsidRPr="001D0AC7">
        <w:rPr>
          <w:rStyle w:val="normaltextrun"/>
          <w:rFonts w:ascii="Gill Sans MT" w:eastAsiaTheme="majorEastAsia" w:hAnsi="Gill Sans MT" w:cs="Calibri"/>
          <w:b/>
          <w:bCs/>
          <w:sz w:val="30"/>
          <w:szCs w:val="30"/>
        </w:rPr>
        <w:t>Does policy impact equitable access to services? - A critical discourse analysis of discharge policies in paediatric rehabilitation</w:t>
      </w:r>
    </w:p>
    <w:p w14:paraId="6EBA405A" w14:textId="77777777" w:rsidR="00D47F20" w:rsidRPr="001D0AC7" w:rsidRDefault="00D47F20" w:rsidP="001D0AC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Gill Sans MT" w:hAnsi="Gill Sans MT" w:cs="Segoe UI"/>
          <w:sz w:val="18"/>
          <w:szCs w:val="18"/>
        </w:rPr>
      </w:pPr>
    </w:p>
    <w:p w14:paraId="3029D41C" w14:textId="21AD1DFE" w:rsidR="00D47F20" w:rsidRPr="001D0AC7" w:rsidRDefault="001D0AC7" w:rsidP="001D0AC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ill Sans MT" w:eastAsiaTheme="majorEastAsia" w:hAnsi="Gill Sans MT" w:cs="Calibri"/>
          <w:sz w:val="19"/>
          <w:szCs w:val="19"/>
          <w:vertAlign w:val="superscript"/>
        </w:rPr>
      </w:pPr>
      <w:r w:rsidRPr="001D0AC7">
        <w:rPr>
          <w:rStyle w:val="normaltextrun"/>
          <w:rFonts w:ascii="Gill Sans MT" w:eastAsiaTheme="majorEastAsia" w:hAnsi="Gill Sans MT" w:cs="Calibri"/>
        </w:rPr>
        <w:t xml:space="preserve">| © </w:t>
      </w:r>
      <w:r w:rsidR="00D47F20" w:rsidRPr="001D0AC7">
        <w:rPr>
          <w:rStyle w:val="normaltextrun"/>
          <w:rFonts w:ascii="Gill Sans MT" w:eastAsiaTheme="majorEastAsia" w:hAnsi="Gill Sans MT" w:cs="Calibri"/>
        </w:rPr>
        <w:t>Meaghan Reitzel; Briano Di Rezze; Lori Letts; Michelle Phoenix</w:t>
      </w:r>
    </w:p>
    <w:p w14:paraId="795620D4" w14:textId="77777777" w:rsidR="006B0758" w:rsidRPr="001D0AC7" w:rsidRDefault="006B0758" w:rsidP="001D0AC7">
      <w:pPr>
        <w:spacing w:line="360" w:lineRule="auto"/>
        <w:jc w:val="center"/>
        <w:rPr>
          <w:rFonts w:ascii="Gill Sans MT" w:hAnsi="Gill Sans MT"/>
          <w:bCs/>
        </w:rPr>
      </w:pPr>
    </w:p>
    <w:p w14:paraId="76975C0B" w14:textId="355B30B2" w:rsidR="00E0536A" w:rsidRPr="001D0AC7" w:rsidRDefault="006B0758" w:rsidP="001D0AC7">
      <w:pPr>
        <w:spacing w:line="360" w:lineRule="auto"/>
        <w:jc w:val="center"/>
        <w:rPr>
          <w:rFonts w:ascii="Gill Sans MT" w:hAnsi="Gill Sans MT"/>
          <w:b/>
          <w:bCs/>
        </w:rPr>
      </w:pPr>
      <w:r w:rsidRPr="001D0AC7">
        <w:rPr>
          <w:rFonts w:ascii="Gill Sans MT" w:hAnsi="Gill Sans MT"/>
          <w:b/>
          <w:bCs/>
        </w:rPr>
        <w:t xml:space="preserve">Plain English </w:t>
      </w:r>
      <w:r w:rsidR="00E0536A" w:rsidRPr="001D0AC7">
        <w:rPr>
          <w:rFonts w:ascii="Gill Sans MT" w:hAnsi="Gill Sans MT"/>
          <w:b/>
          <w:bCs/>
        </w:rPr>
        <w:t>Summary</w:t>
      </w:r>
    </w:p>
    <w:p w14:paraId="0667E773" w14:textId="77777777" w:rsidR="001D0AC7" w:rsidRPr="001D0AC7" w:rsidRDefault="001D0AC7" w:rsidP="001D0AC7">
      <w:pPr>
        <w:spacing w:line="360" w:lineRule="auto"/>
        <w:jc w:val="center"/>
        <w:rPr>
          <w:rFonts w:ascii="Gill Sans MT" w:hAnsi="Gill Sans MT"/>
          <w:b/>
          <w:bCs/>
        </w:rPr>
      </w:pPr>
    </w:p>
    <w:p w14:paraId="6B1343AD" w14:textId="140509E3" w:rsidR="00AC345C" w:rsidRPr="001D0AC7" w:rsidRDefault="00AC345C" w:rsidP="001D0AC7">
      <w:pPr>
        <w:spacing w:line="360" w:lineRule="auto"/>
        <w:rPr>
          <w:rFonts w:ascii="Gill Sans MT" w:hAnsi="Gill Sans MT"/>
          <w:b/>
          <w:bCs/>
        </w:rPr>
      </w:pPr>
      <w:r w:rsidRPr="001D0AC7">
        <w:rPr>
          <w:rFonts w:ascii="Gill Sans MT" w:hAnsi="Gill Sans MT"/>
          <w:b/>
          <w:bCs/>
        </w:rPr>
        <w:t xml:space="preserve">1. Introduction </w:t>
      </w:r>
    </w:p>
    <w:p w14:paraId="74DA2267" w14:textId="6D635A62" w:rsidR="009B3F80" w:rsidRPr="001D0AC7" w:rsidRDefault="009B3F80" w:rsidP="001D0AC7">
      <w:pPr>
        <w:spacing w:line="360" w:lineRule="auto"/>
        <w:rPr>
          <w:rFonts w:ascii="Gill Sans MT" w:hAnsi="Gill Sans MT" w:cs="Calibri"/>
          <w:color w:val="000000"/>
          <w:shd w:val="clear" w:color="auto" w:fill="FFFFFF"/>
        </w:rPr>
      </w:pPr>
      <w:r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Having the </w:t>
      </w:r>
      <w:r w:rsidRPr="001D0AC7">
        <w:rPr>
          <w:rStyle w:val="normaltextrun"/>
          <w:rFonts w:ascii="Gill Sans MT" w:hAnsi="Gill Sans MT" w:cs="Calibri"/>
          <w:i/>
          <w:color w:val="000000"/>
          <w:shd w:val="clear" w:color="auto" w:fill="FFFFFF"/>
        </w:rPr>
        <w:t>choice</w:t>
      </w:r>
      <w:r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to access rehabilitation services is a </w:t>
      </w:r>
      <w:r w:rsidRPr="001D0AC7">
        <w:rPr>
          <w:rStyle w:val="normaltextrun"/>
          <w:rFonts w:ascii="Gill Sans MT" w:hAnsi="Gill Sans MT" w:cs="Calibri"/>
          <w:i/>
          <w:color w:val="000000"/>
          <w:shd w:val="clear" w:color="auto" w:fill="FFFFFF"/>
        </w:rPr>
        <w:t xml:space="preserve">right </w:t>
      </w:r>
      <w:r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of disabled children. In Ontario</w:t>
      </w:r>
      <w:r w:rsidR="6F53AE84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,</w:t>
      </w:r>
      <w:r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Canada, </w:t>
      </w:r>
      <w:r w:rsidR="009B7E2D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children’s </w:t>
      </w:r>
      <w:r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rehabilitation services are provided by Children’s Treatment Centres (CTCs), and many manage missed appointments using </w:t>
      </w:r>
      <w:r w:rsidR="001D0AC7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what are called ‘</w:t>
      </w:r>
      <w:r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discharge policies</w:t>
      </w:r>
      <w:r w:rsidR="001D0AC7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’</w:t>
      </w:r>
      <w:r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. </w:t>
      </w:r>
      <w:r w:rsidR="001A2C5E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In this paper, we think about how assumptions are made </w:t>
      </w:r>
      <w:r w:rsidR="008D16E5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by healthcare workers </w:t>
      </w:r>
      <w:r w:rsidR="001A2C5E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about the value of rehabilitation services </w:t>
      </w:r>
      <w:r w:rsidR="00436A5F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for </w:t>
      </w:r>
      <w:r w:rsidR="008D16E5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disabled children and their families</w:t>
      </w:r>
      <w:r w:rsidR="00436A5F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and who can access them</w:t>
      </w:r>
      <w:r w:rsidR="001A2C5E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. </w:t>
      </w:r>
      <w:r w:rsidR="001D0AC7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Unfortunately, it is not the</w:t>
      </w:r>
      <w:r w:rsidR="00E71405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v</w:t>
      </w:r>
      <w:r w:rsidR="001D0AC7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oices of children and families that shape policies and services - </w:t>
      </w:r>
      <w:r w:rsidR="00E71405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it is the values of those working in the rehabilitation field that influence </w:t>
      </w:r>
      <w:r w:rsidR="00436A5F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organizational policies, processes, and programs in</w:t>
      </w:r>
      <w:r w:rsidR="00E71405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the </w:t>
      </w:r>
      <w:r w:rsidR="00436A5F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children’s</w:t>
      </w:r>
      <w:r w:rsidR="00E71405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rehabilitation system</w:t>
      </w:r>
      <w:r w:rsidR="001D0AC7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. These include</w:t>
      </w:r>
      <w:r w:rsidR="00E71405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the policies used to manage missed appointments. </w:t>
      </w:r>
      <w:r w:rsidR="00F0450A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This results </w:t>
      </w:r>
      <w:r w:rsidR="002B5A74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in assumptions </w:t>
      </w:r>
      <w:r w:rsidR="00F0450A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that </w:t>
      </w:r>
      <w:r w:rsidR="00436A5F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a) </w:t>
      </w:r>
      <w:r w:rsidR="00F0450A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families </w:t>
      </w:r>
      <w:r w:rsidR="00436A5F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value rehabilitation services and </w:t>
      </w:r>
      <w:r w:rsidR="00436A5F" w:rsidRPr="001D0AC7">
        <w:rPr>
          <w:rStyle w:val="normaltextrun"/>
          <w:rFonts w:ascii="Gill Sans MT" w:hAnsi="Gill Sans MT" w:cs="Calibri"/>
          <w:i/>
          <w:color w:val="000000"/>
          <w:shd w:val="clear" w:color="auto" w:fill="FFFFFF"/>
        </w:rPr>
        <w:t>should</w:t>
      </w:r>
      <w:r w:rsidR="00436A5F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attend with their child, b) families do not value rehabilitation appointments if they do not attend, and c) families are at fault if appointments are missed. </w:t>
      </w:r>
      <w:r w:rsidR="002B5A74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Problematically, this view does not account for the valid choice for a family not to access rehabilitation services. Additionally, it does not make space to consider how </w:t>
      </w:r>
      <w:r w:rsidR="00436A5F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barriers related to </w:t>
      </w:r>
      <w:r w:rsidR="002B5A74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factors such as poverty, </w:t>
      </w:r>
      <w:r w:rsidR="008D16E5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age or race </w:t>
      </w:r>
      <w:r w:rsidR="00436A5F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may </w:t>
      </w:r>
      <w:r w:rsidR="008D16E5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impact</w:t>
      </w:r>
      <w:r w:rsidR="002B5A74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</w:t>
      </w:r>
      <w:r w:rsidR="00436A5F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>families experience using children’s rehabilitation services.</w:t>
      </w:r>
      <w:r w:rsidR="008D16E5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</w:t>
      </w:r>
      <w:r w:rsidR="002B5A74" w:rsidRPr="001D0AC7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 </w:t>
      </w:r>
    </w:p>
    <w:p w14:paraId="061FE219" w14:textId="77777777" w:rsidR="00AC345C" w:rsidRPr="001D0AC7" w:rsidRDefault="00AC345C" w:rsidP="001D0AC7">
      <w:pPr>
        <w:spacing w:line="360" w:lineRule="auto"/>
        <w:rPr>
          <w:rFonts w:ascii="Gill Sans MT" w:hAnsi="Gill Sans MT"/>
          <w:bCs/>
        </w:rPr>
      </w:pPr>
    </w:p>
    <w:p w14:paraId="10318E49" w14:textId="049D8FF5" w:rsidR="00AC345C" w:rsidRPr="001D0AC7" w:rsidRDefault="00AC345C" w:rsidP="001D0AC7">
      <w:pPr>
        <w:spacing w:line="360" w:lineRule="auto"/>
        <w:rPr>
          <w:rFonts w:ascii="Gill Sans MT" w:hAnsi="Gill Sans MT"/>
          <w:b/>
          <w:bCs/>
        </w:rPr>
      </w:pPr>
      <w:r w:rsidRPr="001D0AC7">
        <w:rPr>
          <w:rFonts w:ascii="Gill Sans MT" w:hAnsi="Gill Sans MT"/>
          <w:b/>
          <w:bCs/>
        </w:rPr>
        <w:t>2. Summary of the research</w:t>
      </w:r>
    </w:p>
    <w:p w14:paraId="582C38A5" w14:textId="16DC1D9E" w:rsidR="00AC345C" w:rsidRPr="001D0AC7" w:rsidRDefault="00AC345C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>Our research</w:t>
      </w:r>
      <w:r w:rsidR="008D16E5" w:rsidRPr="001D0AC7">
        <w:rPr>
          <w:rFonts w:ascii="Gill Sans MT" w:hAnsi="Gill Sans MT"/>
          <w:bCs/>
        </w:rPr>
        <w:t xml:space="preserve"> examined the language used in CTC policies related to missed appointments to understand </w:t>
      </w:r>
      <w:r w:rsidR="002960BD" w:rsidRPr="001D0AC7">
        <w:rPr>
          <w:rFonts w:ascii="Gill Sans MT" w:hAnsi="Gill Sans MT"/>
          <w:bCs/>
        </w:rPr>
        <w:t>how it might impact access to rehabilitation services for disabled child</w:t>
      </w:r>
      <w:r w:rsidR="00436A5F" w:rsidRPr="001D0AC7">
        <w:rPr>
          <w:rFonts w:ascii="Gill Sans MT" w:hAnsi="Gill Sans MT"/>
          <w:bCs/>
        </w:rPr>
        <w:t>ren</w:t>
      </w:r>
      <w:r w:rsidR="002960BD" w:rsidRPr="001D0AC7">
        <w:rPr>
          <w:rFonts w:ascii="Gill Sans MT" w:hAnsi="Gill Sans MT"/>
          <w:bCs/>
        </w:rPr>
        <w:t xml:space="preserve"> and their famil</w:t>
      </w:r>
      <w:r w:rsidR="00436A5F" w:rsidRPr="001D0AC7">
        <w:rPr>
          <w:rFonts w:ascii="Gill Sans MT" w:hAnsi="Gill Sans MT"/>
          <w:bCs/>
        </w:rPr>
        <w:t>ies</w:t>
      </w:r>
      <w:r w:rsidR="002960BD" w:rsidRPr="001D0AC7">
        <w:rPr>
          <w:rFonts w:ascii="Gill Sans MT" w:hAnsi="Gill Sans MT"/>
          <w:bCs/>
        </w:rPr>
        <w:t>. We aimed to describe trends in CTC policies fo</w:t>
      </w:r>
      <w:r w:rsidR="001D0AC7" w:rsidRPr="001D0AC7">
        <w:rPr>
          <w:rFonts w:ascii="Gill Sans MT" w:hAnsi="Gill Sans MT"/>
          <w:bCs/>
        </w:rPr>
        <w:t>r how missed visits are handled. We wanted to</w:t>
      </w:r>
      <w:r w:rsidR="002960BD" w:rsidRPr="001D0AC7">
        <w:rPr>
          <w:rFonts w:ascii="Gill Sans MT" w:hAnsi="Gill Sans MT"/>
          <w:bCs/>
        </w:rPr>
        <w:t xml:space="preserve"> identify </w:t>
      </w:r>
      <w:r w:rsidR="00951A3E" w:rsidRPr="001D0AC7">
        <w:rPr>
          <w:rFonts w:ascii="Gill Sans MT" w:hAnsi="Gill Sans MT"/>
          <w:bCs/>
        </w:rPr>
        <w:t xml:space="preserve">engrained </w:t>
      </w:r>
      <w:r w:rsidR="002960BD" w:rsidRPr="001D0AC7">
        <w:rPr>
          <w:rFonts w:ascii="Gill Sans MT" w:hAnsi="Gill Sans MT"/>
          <w:bCs/>
        </w:rPr>
        <w:t>values and assumptions in the policies that could influence access to service</w:t>
      </w:r>
      <w:r w:rsidR="001D0AC7" w:rsidRPr="001D0AC7">
        <w:rPr>
          <w:rFonts w:ascii="Gill Sans MT" w:hAnsi="Gill Sans MT"/>
          <w:bCs/>
        </w:rPr>
        <w:t>. We</w:t>
      </w:r>
      <w:r w:rsidR="002960BD" w:rsidRPr="001D0AC7">
        <w:rPr>
          <w:rFonts w:ascii="Gill Sans MT" w:hAnsi="Gill Sans MT"/>
          <w:bCs/>
        </w:rPr>
        <w:t xml:space="preserve"> </w:t>
      </w:r>
      <w:r w:rsidR="001D0AC7" w:rsidRPr="001D0AC7">
        <w:rPr>
          <w:rFonts w:ascii="Gill Sans MT" w:hAnsi="Gill Sans MT"/>
          <w:bCs/>
        </w:rPr>
        <w:lastRenderedPageBreak/>
        <w:t>have</w:t>
      </w:r>
      <w:r w:rsidR="002960BD" w:rsidRPr="001D0AC7">
        <w:rPr>
          <w:rFonts w:ascii="Gill Sans MT" w:hAnsi="Gill Sans MT"/>
          <w:bCs/>
        </w:rPr>
        <w:t xml:space="preserve"> develop</w:t>
      </w:r>
      <w:r w:rsidR="001D0AC7" w:rsidRPr="001D0AC7">
        <w:rPr>
          <w:rFonts w:ascii="Gill Sans MT" w:hAnsi="Gill Sans MT"/>
          <w:bCs/>
        </w:rPr>
        <w:t>ed</w:t>
      </w:r>
      <w:r w:rsidR="002960BD" w:rsidRPr="001D0AC7">
        <w:rPr>
          <w:rFonts w:ascii="Gill Sans MT" w:hAnsi="Gill Sans MT"/>
          <w:bCs/>
        </w:rPr>
        <w:t xml:space="preserve"> </w:t>
      </w:r>
      <w:r w:rsidR="003A7D63" w:rsidRPr="001D0AC7">
        <w:rPr>
          <w:rFonts w:ascii="Gill Sans MT" w:hAnsi="Gill Sans MT"/>
          <w:bCs/>
        </w:rPr>
        <w:t xml:space="preserve">policy </w:t>
      </w:r>
      <w:r w:rsidR="002960BD" w:rsidRPr="001D0AC7">
        <w:rPr>
          <w:rFonts w:ascii="Gill Sans MT" w:hAnsi="Gill Sans MT"/>
          <w:bCs/>
        </w:rPr>
        <w:t xml:space="preserve">recommendations </w:t>
      </w:r>
      <w:r w:rsidR="003A7D63" w:rsidRPr="001D0AC7">
        <w:rPr>
          <w:rFonts w:ascii="Gill Sans MT" w:hAnsi="Gill Sans MT"/>
          <w:bCs/>
        </w:rPr>
        <w:t>that improve access to children’s rehabilitation services for children and families who want to use the service.</w:t>
      </w:r>
      <w:r w:rsidR="009C25A5" w:rsidRPr="001D0AC7">
        <w:rPr>
          <w:rFonts w:ascii="Gill Sans MT" w:hAnsi="Gill Sans MT"/>
          <w:bCs/>
        </w:rPr>
        <w:t xml:space="preserve"> </w:t>
      </w:r>
      <w:r w:rsidR="002960BD" w:rsidRPr="001D0AC7">
        <w:rPr>
          <w:rFonts w:ascii="Gill Sans MT" w:hAnsi="Gill Sans MT"/>
          <w:bCs/>
        </w:rPr>
        <w:t xml:space="preserve"> </w:t>
      </w:r>
    </w:p>
    <w:p w14:paraId="3385FFA3" w14:textId="77777777" w:rsidR="00AC345C" w:rsidRPr="001D0AC7" w:rsidRDefault="00AC345C" w:rsidP="001D0AC7">
      <w:pPr>
        <w:spacing w:line="360" w:lineRule="auto"/>
        <w:rPr>
          <w:rFonts w:ascii="Gill Sans MT" w:hAnsi="Gill Sans MT"/>
          <w:bCs/>
        </w:rPr>
      </w:pPr>
    </w:p>
    <w:p w14:paraId="36ACE70F" w14:textId="1EB6D1C9" w:rsidR="00AC345C" w:rsidRPr="001D0AC7" w:rsidRDefault="00AC345C" w:rsidP="001D0AC7">
      <w:pPr>
        <w:spacing w:line="360" w:lineRule="auto"/>
        <w:rPr>
          <w:rFonts w:ascii="Gill Sans MT" w:hAnsi="Gill Sans MT"/>
          <w:b/>
          <w:bCs/>
        </w:rPr>
      </w:pPr>
      <w:r w:rsidRPr="001D0AC7">
        <w:rPr>
          <w:rFonts w:ascii="Gill Sans MT" w:hAnsi="Gill Sans MT"/>
          <w:b/>
          <w:bCs/>
        </w:rPr>
        <w:t xml:space="preserve">3. Summary of the main findings </w:t>
      </w:r>
    </w:p>
    <w:p w14:paraId="48DD0CBF" w14:textId="60192143" w:rsidR="009C25A5" w:rsidRPr="001D0AC7" w:rsidRDefault="00AC345C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>We found that</w:t>
      </w:r>
      <w:r w:rsidR="009C25A5" w:rsidRPr="001D0AC7">
        <w:rPr>
          <w:rFonts w:ascii="Gill Sans MT" w:hAnsi="Gill Sans MT"/>
          <w:bCs/>
        </w:rPr>
        <w:t xml:space="preserve"> 15 of the 18 CTCs from which information was collected had policies in place to manage missed appointments. CTCs used things like reminder calls, appointment cards and offering of</w:t>
      </w:r>
      <w:r w:rsidR="001D0AC7" w:rsidRPr="001D0AC7">
        <w:rPr>
          <w:rFonts w:ascii="Gill Sans MT" w:hAnsi="Gill Sans MT"/>
          <w:bCs/>
        </w:rPr>
        <w:t xml:space="preserve"> interpreter services to try to</w:t>
      </w:r>
      <w:r w:rsidR="009C25A5" w:rsidRPr="001D0AC7">
        <w:rPr>
          <w:rFonts w:ascii="Gill Sans MT" w:hAnsi="Gill Sans MT"/>
          <w:bCs/>
        </w:rPr>
        <w:t xml:space="preserve"> reduce missed appointments. </w:t>
      </w:r>
      <w:r w:rsidR="006D0834" w:rsidRPr="001D0AC7">
        <w:rPr>
          <w:rFonts w:ascii="Gill Sans MT" w:hAnsi="Gill Sans MT"/>
          <w:bCs/>
        </w:rPr>
        <w:t xml:space="preserve">A common flow for how missed visits were managed was identified, which often resulted in families being discharged from services after missing a specified number of visits. </w:t>
      </w:r>
    </w:p>
    <w:p w14:paraId="5B5BEA7A" w14:textId="703F2009" w:rsidR="006D0834" w:rsidRPr="001D0AC7" w:rsidRDefault="006D0834" w:rsidP="001D0AC7">
      <w:pPr>
        <w:spacing w:line="360" w:lineRule="auto"/>
        <w:rPr>
          <w:rFonts w:ascii="Gill Sans MT" w:hAnsi="Gill Sans MT"/>
          <w:bCs/>
        </w:rPr>
      </w:pPr>
    </w:p>
    <w:p w14:paraId="40BCF1AE" w14:textId="4FEC4193" w:rsidR="006D0834" w:rsidRPr="001D0AC7" w:rsidRDefault="006D0834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 xml:space="preserve">We </w:t>
      </w:r>
      <w:r w:rsidR="002C4B7C" w:rsidRPr="001D0AC7">
        <w:rPr>
          <w:rFonts w:ascii="Gill Sans MT" w:hAnsi="Gill Sans MT"/>
          <w:bCs/>
        </w:rPr>
        <w:t xml:space="preserve">also found that although policies described </w:t>
      </w:r>
      <w:r w:rsidR="003A7D63" w:rsidRPr="001D0AC7">
        <w:rPr>
          <w:rFonts w:ascii="Gill Sans MT" w:hAnsi="Gill Sans MT"/>
          <w:bCs/>
        </w:rPr>
        <w:t xml:space="preserve">opportunities to obtain family input on </w:t>
      </w:r>
      <w:r w:rsidR="008908DE" w:rsidRPr="001D0AC7">
        <w:rPr>
          <w:rFonts w:ascii="Gill Sans MT" w:hAnsi="Gill Sans MT"/>
          <w:bCs/>
        </w:rPr>
        <w:t>factors</w:t>
      </w:r>
      <w:r w:rsidR="002C4B7C" w:rsidRPr="001D0AC7">
        <w:rPr>
          <w:rFonts w:ascii="Gill Sans MT" w:hAnsi="Gill Sans MT"/>
          <w:bCs/>
        </w:rPr>
        <w:t xml:space="preserve"> like service frequency, location and </w:t>
      </w:r>
      <w:r w:rsidR="003A7D63" w:rsidRPr="001D0AC7">
        <w:rPr>
          <w:rFonts w:ascii="Gill Sans MT" w:hAnsi="Gill Sans MT"/>
          <w:bCs/>
        </w:rPr>
        <w:t xml:space="preserve">therapy </w:t>
      </w:r>
      <w:r w:rsidR="002C4B7C" w:rsidRPr="001D0AC7">
        <w:rPr>
          <w:rFonts w:ascii="Gill Sans MT" w:hAnsi="Gill Sans MT"/>
          <w:bCs/>
        </w:rPr>
        <w:t xml:space="preserve">goals, the choice for families not to access services </w:t>
      </w:r>
      <w:r w:rsidR="00FE2A08" w:rsidRPr="001D0AC7">
        <w:rPr>
          <w:rFonts w:ascii="Gill Sans MT" w:hAnsi="Gill Sans MT"/>
          <w:bCs/>
        </w:rPr>
        <w:t>is</w:t>
      </w:r>
      <w:r w:rsidR="009B7E2D" w:rsidRPr="001D0AC7">
        <w:rPr>
          <w:rFonts w:ascii="Gill Sans MT" w:hAnsi="Gill Sans MT"/>
          <w:bCs/>
        </w:rPr>
        <w:t xml:space="preserve"> </w:t>
      </w:r>
      <w:r w:rsidR="002C4B7C" w:rsidRPr="001D0AC7">
        <w:rPr>
          <w:rFonts w:ascii="Gill Sans MT" w:hAnsi="Gill Sans MT"/>
          <w:bCs/>
        </w:rPr>
        <w:t>not represented as a meaningful option</w:t>
      </w:r>
      <w:r w:rsidR="008908DE" w:rsidRPr="001D0AC7">
        <w:rPr>
          <w:rFonts w:ascii="Gill Sans MT" w:hAnsi="Gill Sans MT"/>
          <w:bCs/>
        </w:rPr>
        <w:t xml:space="preserve">. This </w:t>
      </w:r>
      <w:r w:rsidR="002C4B7C" w:rsidRPr="001D0AC7">
        <w:rPr>
          <w:rFonts w:ascii="Gill Sans MT" w:hAnsi="Gill Sans MT"/>
          <w:bCs/>
        </w:rPr>
        <w:t>restrict</w:t>
      </w:r>
      <w:r w:rsidR="00F07DFA" w:rsidRPr="001D0AC7">
        <w:rPr>
          <w:rFonts w:ascii="Gill Sans MT" w:hAnsi="Gill Sans MT"/>
          <w:bCs/>
        </w:rPr>
        <w:t>s</w:t>
      </w:r>
      <w:r w:rsidR="002C4B7C" w:rsidRPr="001D0AC7">
        <w:rPr>
          <w:rFonts w:ascii="Gill Sans MT" w:hAnsi="Gill Sans MT"/>
          <w:bCs/>
        </w:rPr>
        <w:t xml:space="preserve"> </w:t>
      </w:r>
      <w:r w:rsidR="003A7D63" w:rsidRPr="001D0AC7">
        <w:rPr>
          <w:rFonts w:ascii="Gill Sans MT" w:hAnsi="Gill Sans MT"/>
          <w:bCs/>
        </w:rPr>
        <w:t xml:space="preserve">children and families’ </w:t>
      </w:r>
      <w:r w:rsidR="002C4B7C" w:rsidRPr="001D0AC7">
        <w:rPr>
          <w:rFonts w:ascii="Gill Sans MT" w:hAnsi="Gill Sans MT"/>
          <w:bCs/>
        </w:rPr>
        <w:t xml:space="preserve">right to choose whether they want services or not. Supports to access services discussed in policies, such as interpreters, </w:t>
      </w:r>
      <w:r w:rsidR="00FE2A08" w:rsidRPr="001D0AC7">
        <w:rPr>
          <w:rFonts w:ascii="Gill Sans MT" w:hAnsi="Gill Sans MT"/>
          <w:bCs/>
        </w:rPr>
        <w:t>assume</w:t>
      </w:r>
      <w:r w:rsidR="002C4B7C" w:rsidRPr="001D0AC7">
        <w:rPr>
          <w:rFonts w:ascii="Gill Sans MT" w:hAnsi="Gill Sans MT"/>
          <w:bCs/>
        </w:rPr>
        <w:t xml:space="preserve"> that disabled children and their families </w:t>
      </w:r>
      <w:r w:rsidR="003A7D63" w:rsidRPr="001D0AC7">
        <w:rPr>
          <w:rFonts w:ascii="Gill Sans MT" w:hAnsi="Gill Sans MT"/>
          <w:bCs/>
        </w:rPr>
        <w:t xml:space="preserve">wanted </w:t>
      </w:r>
      <w:r w:rsidR="002C4B7C" w:rsidRPr="001D0AC7">
        <w:rPr>
          <w:rFonts w:ascii="Gill Sans MT" w:hAnsi="Gill Sans MT"/>
          <w:bCs/>
        </w:rPr>
        <w:t xml:space="preserve">to access services in the first place.   </w:t>
      </w:r>
    </w:p>
    <w:p w14:paraId="4A567A7C" w14:textId="72A5BD36" w:rsidR="00D95785" w:rsidRPr="001D0AC7" w:rsidRDefault="00D95785" w:rsidP="001D0AC7">
      <w:pPr>
        <w:spacing w:line="360" w:lineRule="auto"/>
        <w:rPr>
          <w:rFonts w:ascii="Gill Sans MT" w:hAnsi="Gill Sans MT"/>
          <w:bCs/>
        </w:rPr>
      </w:pPr>
    </w:p>
    <w:p w14:paraId="17D61C3E" w14:textId="54F522EB" w:rsidR="00AC345C" w:rsidRPr="001D0AC7" w:rsidRDefault="00A41FEA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 xml:space="preserve">In the </w:t>
      </w:r>
      <w:r w:rsidR="009B7E2D" w:rsidRPr="001D0AC7">
        <w:rPr>
          <w:rFonts w:ascii="Gill Sans MT" w:hAnsi="Gill Sans MT"/>
          <w:bCs/>
        </w:rPr>
        <w:t xml:space="preserve">children’s </w:t>
      </w:r>
      <w:r w:rsidRPr="001D0AC7">
        <w:rPr>
          <w:rFonts w:ascii="Gill Sans MT" w:hAnsi="Gill Sans MT"/>
          <w:bCs/>
        </w:rPr>
        <w:t>rehabilitation setting, policies related to missed appointments are often enforced by the healthcare professionals</w:t>
      </w:r>
      <w:r w:rsidR="0000422E" w:rsidRPr="001D0AC7">
        <w:rPr>
          <w:rFonts w:ascii="Gill Sans MT" w:hAnsi="Gill Sans MT"/>
          <w:bCs/>
        </w:rPr>
        <w:t>. This means that</w:t>
      </w:r>
      <w:r w:rsidR="00D65DF6" w:rsidRPr="001D0AC7">
        <w:rPr>
          <w:rFonts w:ascii="Gill Sans MT" w:hAnsi="Gill Sans MT"/>
          <w:bCs/>
        </w:rPr>
        <w:t xml:space="preserve"> healthcare professionals can use their judgement</w:t>
      </w:r>
      <w:r w:rsidR="00492EEF" w:rsidRPr="001D0AC7">
        <w:rPr>
          <w:rFonts w:ascii="Gill Sans MT" w:hAnsi="Gill Sans MT"/>
          <w:bCs/>
        </w:rPr>
        <w:t xml:space="preserve"> and have flexibility when applying the policies. </w:t>
      </w:r>
      <w:r w:rsidR="0040632C" w:rsidRPr="001D0AC7">
        <w:rPr>
          <w:rFonts w:ascii="Gill Sans MT" w:hAnsi="Gill Sans MT"/>
          <w:bCs/>
        </w:rPr>
        <w:t xml:space="preserve">This flexibility may </w:t>
      </w:r>
      <w:r w:rsidR="00837930" w:rsidRPr="001D0AC7">
        <w:rPr>
          <w:rFonts w:ascii="Gill Sans MT" w:hAnsi="Gill Sans MT"/>
          <w:bCs/>
        </w:rPr>
        <w:t>allow for healthcare workers to work alongside families to support their access to services.</w:t>
      </w:r>
      <w:r w:rsidR="009B7E2D" w:rsidRPr="001D0AC7">
        <w:rPr>
          <w:rFonts w:ascii="Gill Sans MT" w:hAnsi="Gill Sans MT"/>
          <w:bCs/>
        </w:rPr>
        <w:t xml:space="preserve"> However, b</w:t>
      </w:r>
      <w:r w:rsidR="00BB1F4B" w:rsidRPr="001D0AC7">
        <w:rPr>
          <w:rFonts w:ascii="Gill Sans MT" w:hAnsi="Gill Sans MT"/>
          <w:bCs/>
        </w:rPr>
        <w:t xml:space="preserve">ecause the power for implementing the policies lies with the healthcare provider, there is also </w:t>
      </w:r>
      <w:r w:rsidR="00C57A75" w:rsidRPr="001D0AC7">
        <w:rPr>
          <w:rFonts w:ascii="Gill Sans MT" w:hAnsi="Gill Sans MT"/>
          <w:bCs/>
        </w:rPr>
        <w:t xml:space="preserve">a risk </w:t>
      </w:r>
      <w:r w:rsidR="009B7E2D" w:rsidRPr="001D0AC7">
        <w:rPr>
          <w:rFonts w:ascii="Gill Sans MT" w:hAnsi="Gill Sans MT"/>
          <w:bCs/>
        </w:rPr>
        <w:t xml:space="preserve">for </w:t>
      </w:r>
      <w:r w:rsidR="00C57A75" w:rsidRPr="001D0AC7">
        <w:rPr>
          <w:rFonts w:ascii="Gill Sans MT" w:hAnsi="Gill Sans MT"/>
          <w:bCs/>
        </w:rPr>
        <w:t>negative judgements about the family or their reasons for missing appointments</w:t>
      </w:r>
      <w:r w:rsidR="009B7E2D" w:rsidRPr="001D0AC7">
        <w:rPr>
          <w:rFonts w:ascii="Gill Sans MT" w:hAnsi="Gill Sans MT"/>
          <w:bCs/>
        </w:rPr>
        <w:t>. These judgements</w:t>
      </w:r>
      <w:r w:rsidR="00C57A75" w:rsidRPr="001D0AC7">
        <w:rPr>
          <w:rFonts w:ascii="Gill Sans MT" w:hAnsi="Gill Sans MT"/>
          <w:bCs/>
        </w:rPr>
        <w:t xml:space="preserve"> may </w:t>
      </w:r>
      <w:r w:rsidR="001B28B5" w:rsidRPr="001D0AC7">
        <w:rPr>
          <w:rFonts w:ascii="Gill Sans MT" w:hAnsi="Gill Sans MT"/>
          <w:bCs/>
        </w:rPr>
        <w:t xml:space="preserve">cause some families to experience </w:t>
      </w:r>
      <w:r w:rsidR="005451C2" w:rsidRPr="001D0AC7">
        <w:rPr>
          <w:rFonts w:ascii="Gill Sans MT" w:hAnsi="Gill Sans MT"/>
          <w:bCs/>
        </w:rPr>
        <w:t>barriers</w:t>
      </w:r>
      <w:r w:rsidR="001B28B5" w:rsidRPr="001D0AC7">
        <w:rPr>
          <w:rFonts w:ascii="Gill Sans MT" w:hAnsi="Gill Sans MT"/>
          <w:bCs/>
        </w:rPr>
        <w:t xml:space="preserve"> to service access due </w:t>
      </w:r>
      <w:r w:rsidR="005451C2" w:rsidRPr="001D0AC7">
        <w:rPr>
          <w:rFonts w:ascii="Gill Sans MT" w:hAnsi="Gill Sans MT"/>
          <w:bCs/>
        </w:rPr>
        <w:t xml:space="preserve">bias related to racism, classism or ableism. </w:t>
      </w:r>
      <w:r w:rsidR="0000422E" w:rsidRPr="001D0AC7">
        <w:rPr>
          <w:rFonts w:ascii="Gill Sans MT" w:hAnsi="Gill Sans MT"/>
          <w:bCs/>
        </w:rPr>
        <w:t xml:space="preserve"> </w:t>
      </w:r>
    </w:p>
    <w:p w14:paraId="06E93D70" w14:textId="77777777" w:rsidR="00AC345C" w:rsidRPr="001D0AC7" w:rsidRDefault="00AC345C" w:rsidP="001D0AC7">
      <w:pPr>
        <w:spacing w:line="360" w:lineRule="auto"/>
        <w:rPr>
          <w:rFonts w:ascii="Gill Sans MT" w:hAnsi="Gill Sans MT"/>
          <w:bCs/>
        </w:rPr>
      </w:pPr>
    </w:p>
    <w:p w14:paraId="789FDF50" w14:textId="5811ADB5" w:rsidR="00AC345C" w:rsidRPr="001D0AC7" w:rsidRDefault="006E5C73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>Finally, we found that the language used in policies related to missed appointments place</w:t>
      </w:r>
      <w:r w:rsidR="00FE2A08" w:rsidRPr="001D0AC7">
        <w:rPr>
          <w:rFonts w:ascii="Gill Sans MT" w:hAnsi="Gill Sans MT"/>
          <w:bCs/>
        </w:rPr>
        <w:t>s</w:t>
      </w:r>
      <w:r w:rsidRPr="001D0AC7">
        <w:rPr>
          <w:rFonts w:ascii="Gill Sans MT" w:hAnsi="Gill Sans MT"/>
          <w:bCs/>
        </w:rPr>
        <w:t xml:space="preserve"> the service provider in a position of power over the family. </w:t>
      </w:r>
      <w:r w:rsidR="00E649DC" w:rsidRPr="001D0AC7">
        <w:rPr>
          <w:rFonts w:ascii="Gill Sans MT" w:hAnsi="Gill Sans MT"/>
          <w:bCs/>
        </w:rPr>
        <w:t xml:space="preserve">The service provider </w:t>
      </w:r>
      <w:r w:rsidR="00FE2A08" w:rsidRPr="001D0AC7">
        <w:rPr>
          <w:rFonts w:ascii="Gill Sans MT" w:hAnsi="Gill Sans MT"/>
          <w:bCs/>
        </w:rPr>
        <w:t>is</w:t>
      </w:r>
      <w:r w:rsidR="00E649DC" w:rsidRPr="001D0AC7">
        <w:rPr>
          <w:rFonts w:ascii="Gill Sans MT" w:hAnsi="Gill Sans MT"/>
          <w:bCs/>
        </w:rPr>
        <w:t xml:space="preserve"> placed in the position to determine when and what types of services </w:t>
      </w:r>
      <w:r w:rsidR="00F13DEB" w:rsidRPr="001D0AC7">
        <w:rPr>
          <w:rFonts w:ascii="Gill Sans MT" w:hAnsi="Gill Sans MT"/>
          <w:bCs/>
        </w:rPr>
        <w:t>are</w:t>
      </w:r>
      <w:r w:rsidR="00E649DC" w:rsidRPr="001D0AC7">
        <w:rPr>
          <w:rFonts w:ascii="Gill Sans MT" w:hAnsi="Gill Sans MT"/>
          <w:bCs/>
        </w:rPr>
        <w:t xml:space="preserve"> offered to families </w:t>
      </w:r>
      <w:r w:rsidR="007037CF" w:rsidRPr="001D0AC7">
        <w:rPr>
          <w:rFonts w:ascii="Gill Sans MT" w:hAnsi="Gill Sans MT"/>
          <w:bCs/>
        </w:rPr>
        <w:t xml:space="preserve">and whether families </w:t>
      </w:r>
      <w:r w:rsidR="00F13DEB" w:rsidRPr="001D0AC7">
        <w:rPr>
          <w:rFonts w:ascii="Gill Sans MT" w:hAnsi="Gill Sans MT"/>
          <w:bCs/>
        </w:rPr>
        <w:t>are</w:t>
      </w:r>
      <w:r w:rsidR="007037CF" w:rsidRPr="001D0AC7">
        <w:rPr>
          <w:rFonts w:ascii="Gill Sans MT" w:hAnsi="Gill Sans MT"/>
          <w:bCs/>
        </w:rPr>
        <w:t xml:space="preserve"> given the opportunity to continue in services after missing appointments. </w:t>
      </w:r>
      <w:r w:rsidR="00351457" w:rsidRPr="001D0AC7">
        <w:rPr>
          <w:rFonts w:ascii="Gill Sans MT" w:hAnsi="Gill Sans MT"/>
          <w:bCs/>
        </w:rPr>
        <w:t>Limiting family choice</w:t>
      </w:r>
      <w:r w:rsidR="00374E61" w:rsidRPr="001D0AC7">
        <w:rPr>
          <w:rFonts w:ascii="Gill Sans MT" w:hAnsi="Gill Sans MT"/>
          <w:bCs/>
        </w:rPr>
        <w:t xml:space="preserve"> and input in turn limits their power</w:t>
      </w:r>
      <w:r w:rsidR="00572B17" w:rsidRPr="001D0AC7">
        <w:rPr>
          <w:rFonts w:ascii="Gill Sans MT" w:hAnsi="Gill Sans MT"/>
          <w:bCs/>
        </w:rPr>
        <w:t xml:space="preserve"> and does not allow for their </w:t>
      </w:r>
      <w:r w:rsidR="00A512CF" w:rsidRPr="001D0AC7">
        <w:rPr>
          <w:rFonts w:ascii="Gill Sans MT" w:hAnsi="Gill Sans MT"/>
          <w:bCs/>
        </w:rPr>
        <w:t xml:space="preserve">unique situation to be considered. Additionally, </w:t>
      </w:r>
      <w:r w:rsidR="00A512CF" w:rsidRPr="001D0AC7">
        <w:rPr>
          <w:rFonts w:ascii="Gill Sans MT" w:hAnsi="Gill Sans MT"/>
          <w:bCs/>
        </w:rPr>
        <w:lastRenderedPageBreak/>
        <w:t xml:space="preserve">by restricting the family’s voice, </w:t>
      </w:r>
      <w:r w:rsidR="007922FE" w:rsidRPr="001D0AC7">
        <w:rPr>
          <w:rFonts w:ascii="Gill Sans MT" w:hAnsi="Gill Sans MT"/>
          <w:bCs/>
        </w:rPr>
        <w:t xml:space="preserve">there is a risk </w:t>
      </w:r>
      <w:r w:rsidR="00976D49" w:rsidRPr="001D0AC7">
        <w:rPr>
          <w:rFonts w:ascii="Gill Sans MT" w:hAnsi="Gill Sans MT"/>
          <w:bCs/>
        </w:rPr>
        <w:t>of assum</w:t>
      </w:r>
      <w:r w:rsidR="009A5228" w:rsidRPr="001D0AC7">
        <w:rPr>
          <w:rFonts w:ascii="Gill Sans MT" w:hAnsi="Gill Sans MT"/>
          <w:bCs/>
        </w:rPr>
        <w:t>ing that families share</w:t>
      </w:r>
      <w:r w:rsidR="003934D6" w:rsidRPr="001D0AC7">
        <w:rPr>
          <w:rFonts w:ascii="Gill Sans MT" w:hAnsi="Gill Sans MT"/>
          <w:bCs/>
        </w:rPr>
        <w:t xml:space="preserve"> </w:t>
      </w:r>
      <w:r w:rsidR="001D0AC7" w:rsidRPr="001D0AC7">
        <w:rPr>
          <w:rFonts w:ascii="Gill Sans MT" w:hAnsi="Gill Sans MT"/>
          <w:bCs/>
        </w:rPr>
        <w:t>the same</w:t>
      </w:r>
      <w:r w:rsidR="009A5228" w:rsidRPr="001D0AC7">
        <w:rPr>
          <w:rFonts w:ascii="Gill Sans MT" w:hAnsi="Gill Sans MT"/>
          <w:bCs/>
        </w:rPr>
        <w:t xml:space="preserve"> belief</w:t>
      </w:r>
      <w:r w:rsidR="001D0AC7" w:rsidRPr="001D0AC7">
        <w:rPr>
          <w:rFonts w:ascii="Gill Sans MT" w:hAnsi="Gill Sans MT"/>
          <w:bCs/>
        </w:rPr>
        <w:t>s</w:t>
      </w:r>
      <w:r w:rsidR="009A5228" w:rsidRPr="001D0AC7">
        <w:rPr>
          <w:rFonts w:ascii="Gill Sans MT" w:hAnsi="Gill Sans MT"/>
          <w:bCs/>
        </w:rPr>
        <w:t xml:space="preserve"> as </w:t>
      </w:r>
      <w:r w:rsidR="003934D6" w:rsidRPr="001D0AC7">
        <w:rPr>
          <w:rFonts w:ascii="Gill Sans MT" w:hAnsi="Gill Sans MT"/>
          <w:bCs/>
        </w:rPr>
        <w:t xml:space="preserve">many </w:t>
      </w:r>
      <w:r w:rsidR="009A5228" w:rsidRPr="001D0AC7">
        <w:rPr>
          <w:rFonts w:ascii="Gill Sans MT" w:hAnsi="Gill Sans MT"/>
          <w:bCs/>
        </w:rPr>
        <w:t>healthcare professionals</w:t>
      </w:r>
      <w:r w:rsidR="00EC0C35" w:rsidRPr="001D0AC7">
        <w:rPr>
          <w:rFonts w:ascii="Gill Sans MT" w:hAnsi="Gill Sans MT"/>
          <w:bCs/>
        </w:rPr>
        <w:t>:</w:t>
      </w:r>
      <w:r w:rsidR="009A5228" w:rsidRPr="001D0AC7">
        <w:rPr>
          <w:rFonts w:ascii="Gill Sans MT" w:hAnsi="Gill Sans MT"/>
          <w:bCs/>
        </w:rPr>
        <w:t xml:space="preserve"> that rehabilitation services are beneficial for </w:t>
      </w:r>
      <w:r w:rsidR="003226A4" w:rsidRPr="001D0AC7">
        <w:rPr>
          <w:rFonts w:ascii="Gill Sans MT" w:hAnsi="Gill Sans MT"/>
          <w:bCs/>
        </w:rPr>
        <w:t>the development of disabled children</w:t>
      </w:r>
      <w:r w:rsidR="009A5228" w:rsidRPr="001D0AC7">
        <w:rPr>
          <w:rFonts w:ascii="Gill Sans MT" w:hAnsi="Gill Sans MT"/>
          <w:bCs/>
        </w:rPr>
        <w:t xml:space="preserve">. </w:t>
      </w:r>
      <w:r w:rsidR="00A654C8" w:rsidRPr="001D0AC7">
        <w:rPr>
          <w:rFonts w:ascii="Gill Sans MT" w:hAnsi="Gill Sans MT"/>
          <w:bCs/>
        </w:rPr>
        <w:t xml:space="preserve">This perspective </w:t>
      </w:r>
      <w:r w:rsidR="004D15AB" w:rsidRPr="001D0AC7">
        <w:rPr>
          <w:rFonts w:ascii="Gill Sans MT" w:hAnsi="Gill Sans MT"/>
          <w:bCs/>
        </w:rPr>
        <w:t>aligns with the idea that there is a desired normal</w:t>
      </w:r>
      <w:r w:rsidR="00CD5C9B" w:rsidRPr="001D0AC7">
        <w:rPr>
          <w:rFonts w:ascii="Gill Sans MT" w:hAnsi="Gill Sans MT"/>
          <w:bCs/>
        </w:rPr>
        <w:t xml:space="preserve"> child development</w:t>
      </w:r>
      <w:r w:rsidR="00DE6785" w:rsidRPr="001D0AC7">
        <w:rPr>
          <w:rFonts w:ascii="Gill Sans MT" w:hAnsi="Gill Sans MT"/>
          <w:bCs/>
        </w:rPr>
        <w:t>, a belief that mi</w:t>
      </w:r>
      <w:r w:rsidR="00F82E64" w:rsidRPr="001D0AC7">
        <w:rPr>
          <w:rFonts w:ascii="Gill Sans MT" w:hAnsi="Gill Sans MT"/>
          <w:bCs/>
        </w:rPr>
        <w:t xml:space="preserve">ght not be shared by </w:t>
      </w:r>
      <w:r w:rsidR="006F4C0E" w:rsidRPr="001D0AC7">
        <w:rPr>
          <w:rFonts w:ascii="Gill Sans MT" w:hAnsi="Gill Sans MT"/>
          <w:bCs/>
        </w:rPr>
        <w:t>disabled children</w:t>
      </w:r>
      <w:r w:rsidR="00F82E64" w:rsidRPr="001D0AC7">
        <w:rPr>
          <w:rFonts w:ascii="Gill Sans MT" w:hAnsi="Gill Sans MT"/>
          <w:bCs/>
        </w:rPr>
        <w:t xml:space="preserve"> and their families. </w:t>
      </w:r>
    </w:p>
    <w:p w14:paraId="03DA866C" w14:textId="77777777" w:rsidR="00F82E64" w:rsidRPr="001D0AC7" w:rsidRDefault="00F82E64" w:rsidP="001D0AC7">
      <w:pPr>
        <w:spacing w:line="360" w:lineRule="auto"/>
        <w:rPr>
          <w:rFonts w:ascii="Gill Sans MT" w:hAnsi="Gill Sans MT"/>
          <w:bCs/>
        </w:rPr>
      </w:pPr>
    </w:p>
    <w:p w14:paraId="2846FA7F" w14:textId="4F9B9D91" w:rsidR="00AC345C" w:rsidRPr="001D0AC7" w:rsidRDefault="00AC345C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 xml:space="preserve">Overall, we show that </w:t>
      </w:r>
      <w:r w:rsidR="0068746F" w:rsidRPr="001D0AC7">
        <w:rPr>
          <w:rFonts w:ascii="Gill Sans MT" w:hAnsi="Gill Sans MT"/>
          <w:bCs/>
        </w:rPr>
        <w:t>the current language of CTC policies related to missed appointment</w:t>
      </w:r>
      <w:r w:rsidR="001A5AC7" w:rsidRPr="001D0AC7">
        <w:rPr>
          <w:rFonts w:ascii="Gill Sans MT" w:hAnsi="Gill Sans MT"/>
          <w:bCs/>
        </w:rPr>
        <w:t>s</w:t>
      </w:r>
      <w:r w:rsidR="0068746F" w:rsidRPr="001D0AC7">
        <w:rPr>
          <w:rFonts w:ascii="Gill Sans MT" w:hAnsi="Gill Sans MT"/>
          <w:bCs/>
        </w:rPr>
        <w:t xml:space="preserve"> risk</w:t>
      </w:r>
      <w:r w:rsidR="001D0AC7" w:rsidRPr="001D0AC7">
        <w:rPr>
          <w:rFonts w:ascii="Gill Sans MT" w:hAnsi="Gill Sans MT"/>
          <w:bCs/>
        </w:rPr>
        <w:t>s</w:t>
      </w:r>
      <w:r w:rsidR="0068746F" w:rsidRPr="001D0AC7">
        <w:rPr>
          <w:rFonts w:ascii="Gill Sans MT" w:hAnsi="Gill Sans MT"/>
          <w:bCs/>
        </w:rPr>
        <w:t xml:space="preserve"> limiting </w:t>
      </w:r>
      <w:r w:rsidR="006F4C0E" w:rsidRPr="001D0AC7">
        <w:rPr>
          <w:rFonts w:ascii="Gill Sans MT" w:hAnsi="Gill Sans MT"/>
          <w:bCs/>
        </w:rPr>
        <w:t xml:space="preserve">the </w:t>
      </w:r>
      <w:r w:rsidR="00147844" w:rsidRPr="001D0AC7">
        <w:rPr>
          <w:rFonts w:ascii="Gill Sans MT" w:hAnsi="Gill Sans MT"/>
          <w:bCs/>
        </w:rPr>
        <w:t>right</w:t>
      </w:r>
      <w:r w:rsidR="006F4C0E" w:rsidRPr="001D0AC7">
        <w:rPr>
          <w:rFonts w:ascii="Gill Sans MT" w:hAnsi="Gill Sans MT"/>
          <w:bCs/>
        </w:rPr>
        <w:t xml:space="preserve"> </w:t>
      </w:r>
      <w:r w:rsidR="001A5AC7" w:rsidRPr="001D0AC7">
        <w:rPr>
          <w:rFonts w:ascii="Gill Sans MT" w:hAnsi="Gill Sans MT"/>
          <w:bCs/>
        </w:rPr>
        <w:t xml:space="preserve">of </w:t>
      </w:r>
      <w:r w:rsidR="006F4C0E" w:rsidRPr="001D0AC7">
        <w:rPr>
          <w:rFonts w:ascii="Gill Sans MT" w:hAnsi="Gill Sans MT"/>
          <w:bCs/>
        </w:rPr>
        <w:t xml:space="preserve">disabled children and their families to choose </w:t>
      </w:r>
      <w:r w:rsidR="00955AB5" w:rsidRPr="001D0AC7">
        <w:rPr>
          <w:rFonts w:ascii="Gill Sans MT" w:hAnsi="Gill Sans MT"/>
          <w:bCs/>
        </w:rPr>
        <w:t>whether</w:t>
      </w:r>
      <w:r w:rsidR="006F4C0E" w:rsidRPr="001D0AC7">
        <w:rPr>
          <w:rFonts w:ascii="Gill Sans MT" w:hAnsi="Gill Sans MT"/>
          <w:bCs/>
        </w:rPr>
        <w:t xml:space="preserve"> to access </w:t>
      </w:r>
      <w:r w:rsidR="009B7E2D" w:rsidRPr="001D0AC7">
        <w:rPr>
          <w:rFonts w:ascii="Gill Sans MT" w:hAnsi="Gill Sans MT"/>
          <w:bCs/>
        </w:rPr>
        <w:t>children’s</w:t>
      </w:r>
      <w:r w:rsidR="006F4C0E" w:rsidRPr="001D0AC7">
        <w:rPr>
          <w:rFonts w:ascii="Gill Sans MT" w:hAnsi="Gill Sans MT"/>
          <w:bCs/>
        </w:rPr>
        <w:t xml:space="preserve"> rehabilitation services. </w:t>
      </w:r>
    </w:p>
    <w:p w14:paraId="4604AC7C" w14:textId="77777777" w:rsidR="00AC345C" w:rsidRPr="001D0AC7" w:rsidRDefault="00AC345C" w:rsidP="001D0AC7">
      <w:pPr>
        <w:spacing w:line="360" w:lineRule="auto"/>
        <w:rPr>
          <w:rFonts w:ascii="Gill Sans MT" w:hAnsi="Gill Sans MT"/>
          <w:bCs/>
        </w:rPr>
      </w:pPr>
    </w:p>
    <w:p w14:paraId="3C59DC6D" w14:textId="61B5745F" w:rsidR="00AC345C" w:rsidRPr="001D0AC7" w:rsidRDefault="00FD3AEC" w:rsidP="001D0AC7">
      <w:pPr>
        <w:spacing w:line="360" w:lineRule="auto"/>
        <w:rPr>
          <w:rFonts w:ascii="Gill Sans MT" w:hAnsi="Gill Sans MT"/>
          <w:b/>
          <w:bCs/>
        </w:rPr>
      </w:pPr>
      <w:r w:rsidRPr="001D0AC7">
        <w:rPr>
          <w:rFonts w:ascii="Gill Sans MT" w:hAnsi="Gill Sans MT"/>
          <w:b/>
          <w:bCs/>
        </w:rPr>
        <w:t xml:space="preserve">4. </w:t>
      </w:r>
      <w:r w:rsidR="00AC345C" w:rsidRPr="001D0AC7">
        <w:rPr>
          <w:rFonts w:ascii="Gill Sans MT" w:hAnsi="Gill Sans MT"/>
          <w:b/>
          <w:bCs/>
        </w:rPr>
        <w:t xml:space="preserve">Summary of the main implications of the research </w:t>
      </w:r>
    </w:p>
    <w:p w14:paraId="794AAC36" w14:textId="75048FEB" w:rsidR="00AC345C" w:rsidRPr="001D0AC7" w:rsidRDefault="00AC345C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 xml:space="preserve">We </w:t>
      </w:r>
      <w:r w:rsidR="00B532BE" w:rsidRPr="001D0AC7">
        <w:rPr>
          <w:rFonts w:ascii="Gill Sans MT" w:hAnsi="Gill Sans MT"/>
          <w:bCs/>
        </w:rPr>
        <w:t xml:space="preserve">provide recommendations </w:t>
      </w:r>
      <w:r w:rsidR="000376EE" w:rsidRPr="001D0AC7">
        <w:rPr>
          <w:rFonts w:ascii="Gill Sans MT" w:hAnsi="Gill Sans MT"/>
          <w:bCs/>
        </w:rPr>
        <w:t xml:space="preserve">for more inclusive policies that encourage CTCs to reflect on how current practices </w:t>
      </w:r>
      <w:r w:rsidR="0057497A" w:rsidRPr="001D0AC7">
        <w:rPr>
          <w:rFonts w:ascii="Gill Sans MT" w:hAnsi="Gill Sans MT"/>
          <w:bCs/>
        </w:rPr>
        <w:t xml:space="preserve">may create barriers to families accessing their services. </w:t>
      </w:r>
    </w:p>
    <w:p w14:paraId="4B121598" w14:textId="0FD33F5D" w:rsidR="0057497A" w:rsidRPr="001D0AC7" w:rsidRDefault="0057497A" w:rsidP="001D0AC7">
      <w:pPr>
        <w:spacing w:line="360" w:lineRule="auto"/>
        <w:rPr>
          <w:rFonts w:ascii="Gill Sans MT" w:hAnsi="Gill Sans MT"/>
          <w:bCs/>
        </w:rPr>
      </w:pPr>
    </w:p>
    <w:p w14:paraId="36328FC7" w14:textId="2BCD8C59" w:rsidR="0057497A" w:rsidRPr="001D0AC7" w:rsidRDefault="0057497A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 xml:space="preserve">First, </w:t>
      </w:r>
      <w:r w:rsidR="004868BA" w:rsidRPr="001D0AC7">
        <w:rPr>
          <w:rFonts w:ascii="Gill Sans MT" w:hAnsi="Gill Sans MT"/>
          <w:bCs/>
        </w:rPr>
        <w:t xml:space="preserve">we recommend that </w:t>
      </w:r>
      <w:r w:rsidR="00E84D39" w:rsidRPr="001D0AC7">
        <w:rPr>
          <w:rFonts w:ascii="Gill Sans MT" w:hAnsi="Gill Sans MT"/>
          <w:bCs/>
        </w:rPr>
        <w:t>when policies are developed</w:t>
      </w:r>
      <w:r w:rsidR="005D3D1A" w:rsidRPr="001D0AC7">
        <w:rPr>
          <w:rFonts w:ascii="Gill Sans MT" w:hAnsi="Gill Sans MT"/>
          <w:bCs/>
        </w:rPr>
        <w:t>,</w:t>
      </w:r>
      <w:r w:rsidR="00E84D39" w:rsidRPr="001D0AC7">
        <w:rPr>
          <w:rFonts w:ascii="Gill Sans MT" w:hAnsi="Gill Sans MT"/>
          <w:bCs/>
        </w:rPr>
        <w:t xml:space="preserve"> a family-centred approach that places family needs, values</w:t>
      </w:r>
      <w:r w:rsidR="00FE4C4B" w:rsidRPr="001D0AC7">
        <w:rPr>
          <w:rFonts w:ascii="Gill Sans MT" w:hAnsi="Gill Sans MT"/>
          <w:bCs/>
        </w:rPr>
        <w:t xml:space="preserve"> and</w:t>
      </w:r>
      <w:r w:rsidR="00457E62" w:rsidRPr="001D0AC7">
        <w:rPr>
          <w:rFonts w:ascii="Gill Sans MT" w:hAnsi="Gill Sans MT"/>
          <w:bCs/>
        </w:rPr>
        <w:t xml:space="preserve"> desire for therapy</w:t>
      </w:r>
      <w:r w:rsidR="00851D05" w:rsidRPr="001D0AC7">
        <w:rPr>
          <w:rFonts w:ascii="Gill Sans MT" w:hAnsi="Gill Sans MT"/>
          <w:bCs/>
        </w:rPr>
        <w:t xml:space="preserve"> </w:t>
      </w:r>
      <w:r w:rsidR="001D0AC7" w:rsidRPr="001D0AC7">
        <w:rPr>
          <w:rFonts w:ascii="Gill Sans MT" w:hAnsi="Gill Sans MT"/>
          <w:bCs/>
        </w:rPr>
        <w:t>should be at</w:t>
      </w:r>
      <w:r w:rsidR="005D3D1A" w:rsidRPr="001D0AC7">
        <w:rPr>
          <w:rFonts w:ascii="Gill Sans MT" w:hAnsi="Gill Sans MT"/>
          <w:bCs/>
        </w:rPr>
        <w:t xml:space="preserve"> the</w:t>
      </w:r>
      <w:r w:rsidR="00457E62" w:rsidRPr="001D0AC7">
        <w:rPr>
          <w:rFonts w:ascii="Gill Sans MT" w:hAnsi="Gill Sans MT"/>
          <w:bCs/>
        </w:rPr>
        <w:t xml:space="preserve"> forefront</w:t>
      </w:r>
      <w:r w:rsidR="005D3D1A" w:rsidRPr="001D0AC7">
        <w:rPr>
          <w:rFonts w:ascii="Gill Sans MT" w:hAnsi="Gill Sans MT"/>
          <w:bCs/>
        </w:rPr>
        <w:t xml:space="preserve">. Additionally, we recommend that </w:t>
      </w:r>
      <w:r w:rsidR="00F237FA" w:rsidRPr="001D0AC7">
        <w:rPr>
          <w:rFonts w:ascii="Gill Sans MT" w:hAnsi="Gill Sans MT"/>
          <w:bCs/>
        </w:rPr>
        <w:t xml:space="preserve">consideration is given to how </w:t>
      </w:r>
      <w:r w:rsidR="006170D5" w:rsidRPr="001D0AC7">
        <w:rPr>
          <w:rFonts w:ascii="Gill Sans MT" w:hAnsi="Gill Sans MT"/>
          <w:bCs/>
        </w:rPr>
        <w:t xml:space="preserve">factors such as racism, classism and ableism may influence barriers families experience to accessing services. </w:t>
      </w:r>
    </w:p>
    <w:p w14:paraId="419EE97B" w14:textId="086FEA61" w:rsidR="006170D5" w:rsidRPr="001D0AC7" w:rsidRDefault="006170D5" w:rsidP="001D0AC7">
      <w:pPr>
        <w:spacing w:line="360" w:lineRule="auto"/>
        <w:rPr>
          <w:rFonts w:ascii="Gill Sans MT" w:hAnsi="Gill Sans MT"/>
          <w:bCs/>
        </w:rPr>
      </w:pPr>
    </w:p>
    <w:p w14:paraId="487F44C8" w14:textId="7D5A9627" w:rsidR="006170D5" w:rsidRPr="001D0AC7" w:rsidRDefault="006170D5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 xml:space="preserve">Next, </w:t>
      </w:r>
      <w:r w:rsidR="00560BC3" w:rsidRPr="001D0AC7">
        <w:rPr>
          <w:rFonts w:ascii="Gill Sans MT" w:hAnsi="Gill Sans MT"/>
          <w:bCs/>
        </w:rPr>
        <w:t xml:space="preserve">given the possible ethical </w:t>
      </w:r>
      <w:r w:rsidR="004F2E9D" w:rsidRPr="001D0AC7">
        <w:rPr>
          <w:rFonts w:ascii="Gill Sans MT" w:hAnsi="Gill Sans MT"/>
          <w:bCs/>
        </w:rPr>
        <w:t>questions or concerns</w:t>
      </w:r>
      <w:r w:rsidR="00560BC3" w:rsidRPr="001D0AC7">
        <w:rPr>
          <w:rFonts w:ascii="Gill Sans MT" w:hAnsi="Gill Sans MT"/>
          <w:bCs/>
        </w:rPr>
        <w:t xml:space="preserve"> that healthcare professionals</w:t>
      </w:r>
      <w:r w:rsidR="004F2E9D" w:rsidRPr="001D0AC7">
        <w:rPr>
          <w:rFonts w:ascii="Gill Sans MT" w:hAnsi="Gill Sans MT"/>
          <w:bCs/>
        </w:rPr>
        <w:t xml:space="preserve"> may experience</w:t>
      </w:r>
      <w:r w:rsidR="00560BC3" w:rsidRPr="001D0AC7">
        <w:rPr>
          <w:rFonts w:ascii="Gill Sans MT" w:hAnsi="Gill Sans MT"/>
          <w:bCs/>
        </w:rPr>
        <w:t xml:space="preserve"> when enforcing polic</w:t>
      </w:r>
      <w:r w:rsidR="00E460BE" w:rsidRPr="001D0AC7">
        <w:rPr>
          <w:rFonts w:ascii="Gill Sans MT" w:hAnsi="Gill Sans MT"/>
          <w:bCs/>
        </w:rPr>
        <w:t>ies related to missed visits, we recommend that organizations have a formal approach to using an ethical lens or framework when develop</w:t>
      </w:r>
      <w:r w:rsidR="00F02C2A" w:rsidRPr="001D0AC7">
        <w:rPr>
          <w:rFonts w:ascii="Gill Sans MT" w:hAnsi="Gill Sans MT"/>
          <w:bCs/>
        </w:rPr>
        <w:t>ing</w:t>
      </w:r>
      <w:r w:rsidR="00E460BE" w:rsidRPr="001D0AC7">
        <w:rPr>
          <w:rFonts w:ascii="Gill Sans MT" w:hAnsi="Gill Sans MT"/>
          <w:bCs/>
        </w:rPr>
        <w:t xml:space="preserve"> policies. </w:t>
      </w:r>
    </w:p>
    <w:p w14:paraId="6E84BDEF" w14:textId="75775BAD" w:rsidR="00E460BE" w:rsidRPr="001D0AC7" w:rsidRDefault="00E460BE" w:rsidP="001D0AC7">
      <w:pPr>
        <w:spacing w:line="360" w:lineRule="auto"/>
        <w:rPr>
          <w:rFonts w:ascii="Gill Sans MT" w:hAnsi="Gill Sans MT"/>
          <w:bCs/>
        </w:rPr>
      </w:pPr>
    </w:p>
    <w:p w14:paraId="7F0504BD" w14:textId="2C0AE4DF" w:rsidR="00E460BE" w:rsidRPr="001D0AC7" w:rsidRDefault="00E460BE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>Finally,</w:t>
      </w:r>
      <w:r w:rsidR="007F2EE6" w:rsidRPr="001D0AC7">
        <w:rPr>
          <w:rFonts w:ascii="Gill Sans MT" w:hAnsi="Gill Sans MT"/>
          <w:bCs/>
        </w:rPr>
        <w:t xml:space="preserve"> to</w:t>
      </w:r>
      <w:r w:rsidR="008E45BB" w:rsidRPr="001D0AC7">
        <w:rPr>
          <w:rFonts w:ascii="Gill Sans MT" w:hAnsi="Gill Sans MT"/>
          <w:bCs/>
        </w:rPr>
        <w:t xml:space="preserve"> understand the perspectives of disabled children and their families, we recommend that </w:t>
      </w:r>
      <w:r w:rsidR="005D27A5" w:rsidRPr="001D0AC7">
        <w:rPr>
          <w:rFonts w:ascii="Gill Sans MT" w:hAnsi="Gill Sans MT"/>
          <w:bCs/>
        </w:rPr>
        <w:t xml:space="preserve">the </w:t>
      </w:r>
      <w:r w:rsidR="00A85F4E" w:rsidRPr="001D0AC7">
        <w:rPr>
          <w:rFonts w:ascii="Gill Sans MT" w:hAnsi="Gill Sans MT"/>
          <w:bCs/>
        </w:rPr>
        <w:t xml:space="preserve">voices of disabled children, youth and their families are always included </w:t>
      </w:r>
      <w:r w:rsidR="0083310F" w:rsidRPr="001D0AC7">
        <w:rPr>
          <w:rFonts w:ascii="Gill Sans MT" w:hAnsi="Gill Sans MT"/>
          <w:bCs/>
        </w:rPr>
        <w:t xml:space="preserve">in policy development at CTCs. </w:t>
      </w:r>
    </w:p>
    <w:p w14:paraId="199A73FB" w14:textId="5560291E" w:rsidR="009B1F1C" w:rsidRPr="001D0AC7" w:rsidRDefault="009B1F1C" w:rsidP="001D0AC7">
      <w:pPr>
        <w:spacing w:line="360" w:lineRule="auto"/>
        <w:rPr>
          <w:rFonts w:ascii="Gill Sans MT" w:hAnsi="Gill Sans MT"/>
          <w:bCs/>
        </w:rPr>
      </w:pPr>
    </w:p>
    <w:p w14:paraId="651641EE" w14:textId="38FB0FB6" w:rsidR="009B1F1C" w:rsidRPr="001D0AC7" w:rsidRDefault="009B1F1C" w:rsidP="001D0AC7">
      <w:pPr>
        <w:spacing w:line="360" w:lineRule="auto"/>
        <w:rPr>
          <w:rFonts w:ascii="Gill Sans MT" w:hAnsi="Gill Sans MT"/>
          <w:bCs/>
        </w:rPr>
      </w:pPr>
      <w:r w:rsidRPr="001D0AC7">
        <w:rPr>
          <w:rFonts w:ascii="Gill Sans MT" w:hAnsi="Gill Sans MT"/>
          <w:bCs/>
        </w:rPr>
        <w:t xml:space="preserve">These recommendations are meant to provide CTCs with initial steps to reflect on how </w:t>
      </w:r>
      <w:r w:rsidR="00315F91" w:rsidRPr="001D0AC7">
        <w:rPr>
          <w:rFonts w:ascii="Gill Sans MT" w:hAnsi="Gill Sans MT"/>
          <w:bCs/>
        </w:rPr>
        <w:t xml:space="preserve">policies </w:t>
      </w:r>
      <w:bookmarkStart w:id="0" w:name="_GoBack"/>
      <w:bookmarkEnd w:id="0"/>
      <w:r w:rsidR="00315F91" w:rsidRPr="001D0AC7">
        <w:rPr>
          <w:rFonts w:ascii="Gill Sans MT" w:hAnsi="Gill Sans MT"/>
          <w:bCs/>
        </w:rPr>
        <w:t xml:space="preserve">can be developed to be more inclusive and acknowledge family choice. Further research is required to explore how to implement these recommendations into practice. </w:t>
      </w:r>
    </w:p>
    <w:p w14:paraId="40BD8A9B" w14:textId="665A01CD" w:rsidR="00AC345C" w:rsidRPr="001D0AC7" w:rsidRDefault="00AC345C" w:rsidP="001D0AC7">
      <w:pPr>
        <w:spacing w:line="360" w:lineRule="auto"/>
        <w:rPr>
          <w:rFonts w:ascii="Gill Sans MT" w:hAnsi="Gill Sans MT"/>
          <w:bCs/>
        </w:rPr>
      </w:pPr>
    </w:p>
    <w:p w14:paraId="0A064359" w14:textId="77777777" w:rsidR="00EF09A6" w:rsidRPr="001D0AC7" w:rsidRDefault="00EF09A6" w:rsidP="001D0AC7">
      <w:pPr>
        <w:spacing w:line="360" w:lineRule="auto"/>
        <w:rPr>
          <w:rFonts w:ascii="Gill Sans MT" w:hAnsi="Gill Sans MT"/>
        </w:rPr>
      </w:pPr>
      <w:r w:rsidRPr="001D0AC7">
        <w:rPr>
          <w:rFonts w:ascii="Gill Sans MT" w:hAnsi="Gill Sans MT"/>
          <w:b/>
          <w:bCs/>
        </w:rPr>
        <w:t>More Information</w:t>
      </w:r>
    </w:p>
    <w:p w14:paraId="16B3190A" w14:textId="77777777" w:rsidR="00445353" w:rsidRPr="001D0AC7" w:rsidRDefault="00EF09A6" w:rsidP="001D0AC7">
      <w:pPr>
        <w:spacing w:line="360" w:lineRule="auto"/>
        <w:rPr>
          <w:rFonts w:ascii="Gill Sans MT" w:hAnsi="Gill Sans MT"/>
        </w:rPr>
      </w:pPr>
      <w:r w:rsidRPr="001D0AC7">
        <w:rPr>
          <w:rFonts w:ascii="Gill Sans MT" w:hAnsi="Gill Sans MT"/>
        </w:rPr>
        <w:t xml:space="preserve">For more information about this work please contact </w:t>
      </w:r>
      <w:r w:rsidR="00445353" w:rsidRPr="001D0AC7">
        <w:rPr>
          <w:rFonts w:ascii="Gill Sans MT" w:hAnsi="Gill Sans MT"/>
        </w:rPr>
        <w:t xml:space="preserve">author Meaghan Reitzel, reitzelm@mcmaster.ca </w:t>
      </w:r>
    </w:p>
    <w:p w14:paraId="0239C822" w14:textId="3E115732" w:rsidR="00EF09A6" w:rsidRPr="001D0AC7" w:rsidRDefault="00445353" w:rsidP="001D0AC7">
      <w:pPr>
        <w:spacing w:line="360" w:lineRule="auto"/>
        <w:rPr>
          <w:rFonts w:ascii="Gill Sans MT" w:hAnsi="Gill Sans MT"/>
          <w:b/>
          <w:bCs/>
        </w:rPr>
      </w:pPr>
      <w:r w:rsidRPr="001D0AC7">
        <w:rPr>
          <w:rFonts w:ascii="Gill Sans MT" w:hAnsi="Gill Sans MT"/>
        </w:rPr>
        <w:t xml:space="preserve">Meaghan is a PhD candidate in the School of Rehabilitation Science at McMaster University in Ontario Canada and a student member of CanChild. She also practices clinically as an occupational therapist in the field of paediatric rehabilitation in Ontario, Canada. </w:t>
      </w:r>
      <w:r w:rsidR="00EF09A6" w:rsidRPr="001D0AC7">
        <w:rPr>
          <w:rFonts w:ascii="Gill Sans MT" w:hAnsi="Gill Sans MT"/>
          <w:b/>
          <w:bCs/>
        </w:rPr>
        <w:t xml:space="preserve"> </w:t>
      </w:r>
    </w:p>
    <w:p w14:paraId="2603FE26" w14:textId="77777777" w:rsidR="00EF09A6" w:rsidRPr="001D0AC7" w:rsidRDefault="00EF09A6" w:rsidP="001D0AC7">
      <w:pPr>
        <w:spacing w:line="360" w:lineRule="auto"/>
        <w:rPr>
          <w:rFonts w:ascii="Gill Sans MT" w:hAnsi="Gill Sans MT"/>
          <w:bCs/>
        </w:rPr>
      </w:pPr>
    </w:p>
    <w:p w14:paraId="7D467657" w14:textId="77777777" w:rsidR="00EF09A6" w:rsidRPr="001D0AC7" w:rsidRDefault="00EF09A6" w:rsidP="001D0AC7">
      <w:pPr>
        <w:spacing w:line="360" w:lineRule="auto"/>
        <w:rPr>
          <w:rFonts w:ascii="Gill Sans MT" w:hAnsi="Gill Sans MT"/>
          <w:bCs/>
        </w:rPr>
      </w:pPr>
    </w:p>
    <w:p w14:paraId="542B28EA" w14:textId="606E6D83" w:rsidR="00E0536A" w:rsidRPr="001D0AC7" w:rsidRDefault="00E0536A" w:rsidP="001D0AC7">
      <w:pPr>
        <w:spacing w:line="360" w:lineRule="auto"/>
        <w:rPr>
          <w:rFonts w:ascii="Gill Sans MT" w:hAnsi="Gill Sans MT"/>
          <w:bCs/>
        </w:rPr>
      </w:pPr>
    </w:p>
    <w:sectPr w:rsidR="00E0536A" w:rsidRPr="001D0AC7" w:rsidSect="00FE1C6A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1F645" w14:textId="77777777" w:rsidR="006538BC" w:rsidRDefault="006538BC" w:rsidP="00FE1C6A">
      <w:r>
        <w:separator/>
      </w:r>
    </w:p>
  </w:endnote>
  <w:endnote w:type="continuationSeparator" w:id="0">
    <w:p w14:paraId="2AF50FE8" w14:textId="77777777" w:rsidR="006538BC" w:rsidRDefault="006538BC" w:rsidP="00FE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7670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B53192" w14:textId="61CB81B7" w:rsidR="001D0AC7" w:rsidRDefault="001D0A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D0AC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ED6560" w14:textId="77777777" w:rsidR="00FE1C6A" w:rsidRDefault="00FE1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92AB2" w14:textId="77777777" w:rsidR="006538BC" w:rsidRDefault="006538BC" w:rsidP="00FE1C6A">
      <w:r>
        <w:separator/>
      </w:r>
    </w:p>
  </w:footnote>
  <w:footnote w:type="continuationSeparator" w:id="0">
    <w:p w14:paraId="113CF4EF" w14:textId="77777777" w:rsidR="006538BC" w:rsidRDefault="006538BC" w:rsidP="00FE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6001A" w14:textId="26CFD483" w:rsidR="00FE1C6A" w:rsidRDefault="00FE1C6A">
    <w:pPr>
      <w:pStyle w:val="Header"/>
      <w:rPr>
        <w:rFonts w:ascii="Gill Sans MT" w:hAnsi="Gill Sans MT"/>
      </w:rPr>
    </w:pPr>
    <w:r>
      <w:rPr>
        <w:noProof/>
        <w:lang w:val="en-GB" w:eastAsia="en-GB"/>
      </w:rPr>
      <w:drawing>
        <wp:inline distT="0" distB="0" distL="0" distR="0" wp14:anchorId="1D0B2679" wp14:editId="1B7C0088">
          <wp:extent cx="862965" cy="862965"/>
          <wp:effectExtent l="0" t="0" r="0" b="0"/>
          <wp:docPr id="2" name="Picture 2" descr="The IJDSJ Logo" title="IJDS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FE1C6A">
      <w:rPr>
        <w:rFonts w:ascii="Gill Sans MT" w:hAnsi="Gill Sans MT"/>
      </w:rPr>
      <w:t>I J D S J Digest</w:t>
    </w:r>
  </w:p>
  <w:p w14:paraId="0E18697A" w14:textId="77777777" w:rsidR="00FE1C6A" w:rsidRDefault="00FE1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2F"/>
    <w:rsid w:val="0000422E"/>
    <w:rsid w:val="000376EE"/>
    <w:rsid w:val="00066503"/>
    <w:rsid w:val="00080505"/>
    <w:rsid w:val="000E4CA6"/>
    <w:rsid w:val="000F63A7"/>
    <w:rsid w:val="00147844"/>
    <w:rsid w:val="00171C4D"/>
    <w:rsid w:val="0017457D"/>
    <w:rsid w:val="001A2C5E"/>
    <w:rsid w:val="001A5AC7"/>
    <w:rsid w:val="001B28B5"/>
    <w:rsid w:val="001D0AC7"/>
    <w:rsid w:val="001F56FB"/>
    <w:rsid w:val="001F73B4"/>
    <w:rsid w:val="002960BD"/>
    <w:rsid w:val="002B5A74"/>
    <w:rsid w:val="002C4B7C"/>
    <w:rsid w:val="00315F91"/>
    <w:rsid w:val="003226A4"/>
    <w:rsid w:val="00351457"/>
    <w:rsid w:val="00351EE4"/>
    <w:rsid w:val="003564A5"/>
    <w:rsid w:val="00374E61"/>
    <w:rsid w:val="003934D6"/>
    <w:rsid w:val="003A7D63"/>
    <w:rsid w:val="0040632C"/>
    <w:rsid w:val="0042587A"/>
    <w:rsid w:val="00436A5F"/>
    <w:rsid w:val="00445353"/>
    <w:rsid w:val="004457A7"/>
    <w:rsid w:val="0045235E"/>
    <w:rsid w:val="00457E62"/>
    <w:rsid w:val="004868BA"/>
    <w:rsid w:val="00492EEF"/>
    <w:rsid w:val="004B6008"/>
    <w:rsid w:val="004D15AB"/>
    <w:rsid w:val="004F2E9D"/>
    <w:rsid w:val="005451C2"/>
    <w:rsid w:val="00560BC3"/>
    <w:rsid w:val="00572B17"/>
    <w:rsid w:val="0057497A"/>
    <w:rsid w:val="005B5E63"/>
    <w:rsid w:val="005D27A5"/>
    <w:rsid w:val="005D3D1A"/>
    <w:rsid w:val="005E206A"/>
    <w:rsid w:val="006170D5"/>
    <w:rsid w:val="006538BC"/>
    <w:rsid w:val="0068746F"/>
    <w:rsid w:val="006952EE"/>
    <w:rsid w:val="006B0758"/>
    <w:rsid w:val="006D0834"/>
    <w:rsid w:val="006E5C73"/>
    <w:rsid w:val="006F4C0E"/>
    <w:rsid w:val="007037CF"/>
    <w:rsid w:val="007338BD"/>
    <w:rsid w:val="00754BC9"/>
    <w:rsid w:val="007922FE"/>
    <w:rsid w:val="007F2EE6"/>
    <w:rsid w:val="0083310F"/>
    <w:rsid w:val="00837930"/>
    <w:rsid w:val="00851D05"/>
    <w:rsid w:val="008908DE"/>
    <w:rsid w:val="008D16E5"/>
    <w:rsid w:val="008E45BB"/>
    <w:rsid w:val="0093524B"/>
    <w:rsid w:val="009429A9"/>
    <w:rsid w:val="00951A3E"/>
    <w:rsid w:val="00955AB5"/>
    <w:rsid w:val="00976D49"/>
    <w:rsid w:val="009A5228"/>
    <w:rsid w:val="009B1F1C"/>
    <w:rsid w:val="009B3F80"/>
    <w:rsid w:val="009B7E2D"/>
    <w:rsid w:val="009C012C"/>
    <w:rsid w:val="009C25A5"/>
    <w:rsid w:val="009D2097"/>
    <w:rsid w:val="00A0778C"/>
    <w:rsid w:val="00A41FEA"/>
    <w:rsid w:val="00A512CF"/>
    <w:rsid w:val="00A56C2B"/>
    <w:rsid w:val="00A654C8"/>
    <w:rsid w:val="00A85F4E"/>
    <w:rsid w:val="00AC345C"/>
    <w:rsid w:val="00AE7E53"/>
    <w:rsid w:val="00AF4880"/>
    <w:rsid w:val="00B06E75"/>
    <w:rsid w:val="00B36823"/>
    <w:rsid w:val="00B532BE"/>
    <w:rsid w:val="00B735D9"/>
    <w:rsid w:val="00BB1F4B"/>
    <w:rsid w:val="00BC4408"/>
    <w:rsid w:val="00BE5489"/>
    <w:rsid w:val="00C22AE4"/>
    <w:rsid w:val="00C57A75"/>
    <w:rsid w:val="00C8077C"/>
    <w:rsid w:val="00CD5C9B"/>
    <w:rsid w:val="00D17A2F"/>
    <w:rsid w:val="00D30D3F"/>
    <w:rsid w:val="00D47F20"/>
    <w:rsid w:val="00D65DF6"/>
    <w:rsid w:val="00D7330B"/>
    <w:rsid w:val="00D9393D"/>
    <w:rsid w:val="00D95785"/>
    <w:rsid w:val="00DE13D5"/>
    <w:rsid w:val="00DE6785"/>
    <w:rsid w:val="00E0536A"/>
    <w:rsid w:val="00E460BE"/>
    <w:rsid w:val="00E60CCA"/>
    <w:rsid w:val="00E649DC"/>
    <w:rsid w:val="00E71405"/>
    <w:rsid w:val="00E74A32"/>
    <w:rsid w:val="00E84D39"/>
    <w:rsid w:val="00EA197C"/>
    <w:rsid w:val="00EC0C35"/>
    <w:rsid w:val="00EF09A6"/>
    <w:rsid w:val="00F02C2A"/>
    <w:rsid w:val="00F04414"/>
    <w:rsid w:val="00F0450A"/>
    <w:rsid w:val="00F07DFA"/>
    <w:rsid w:val="00F13DEB"/>
    <w:rsid w:val="00F237FA"/>
    <w:rsid w:val="00F431CD"/>
    <w:rsid w:val="00F82E64"/>
    <w:rsid w:val="00FA6F95"/>
    <w:rsid w:val="00FD3AEC"/>
    <w:rsid w:val="00FE1C6A"/>
    <w:rsid w:val="00FE2A08"/>
    <w:rsid w:val="00FE4C4B"/>
    <w:rsid w:val="00FE66B6"/>
    <w:rsid w:val="62FE7F90"/>
    <w:rsid w:val="6F53A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E2F8"/>
  <w15:chartTrackingRefBased/>
  <w15:docId w15:val="{E5A64286-AE3B-674B-89EC-2AC40765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54BC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4BC9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54B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B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1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6A"/>
  </w:style>
  <w:style w:type="paragraph" w:styleId="Footer">
    <w:name w:val="footer"/>
    <w:basedOn w:val="Normal"/>
    <w:link w:val="FooterChar"/>
    <w:uiPriority w:val="99"/>
    <w:unhideWhenUsed/>
    <w:rsid w:val="00FE1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6A"/>
  </w:style>
  <w:style w:type="paragraph" w:styleId="ListParagraph">
    <w:name w:val="List Paragraph"/>
    <w:basedOn w:val="Normal"/>
    <w:uiPriority w:val="34"/>
    <w:qFormat/>
    <w:rsid w:val="00BE5489"/>
    <w:pPr>
      <w:ind w:left="720"/>
      <w:contextualSpacing/>
    </w:pPr>
  </w:style>
  <w:style w:type="character" w:customStyle="1" w:styleId="normaltextrun">
    <w:name w:val="normaltextrun"/>
    <w:basedOn w:val="DefaultParagraphFont"/>
    <w:rsid w:val="009B3F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3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0D3F"/>
  </w:style>
  <w:style w:type="character" w:styleId="CommentReference">
    <w:name w:val="annotation reference"/>
    <w:basedOn w:val="DefaultParagraphFont"/>
    <w:uiPriority w:val="99"/>
    <w:semiHidden/>
    <w:unhideWhenUsed/>
    <w:rsid w:val="003A7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D63"/>
    <w:rPr>
      <w:b/>
      <w:bCs/>
      <w:sz w:val="20"/>
      <w:szCs w:val="20"/>
    </w:rPr>
  </w:style>
  <w:style w:type="paragraph" w:customStyle="1" w:styleId="paragraph">
    <w:name w:val="paragraph"/>
    <w:basedOn w:val="Normal"/>
    <w:rsid w:val="00D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4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70C2"/>
    <w:rsid w:val="000770C2"/>
    <w:rsid w:val="006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89F2-A31B-4D7A-99D9-3662EAB3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Reitzel</dc:creator>
  <cp:keywords/>
  <dc:description/>
  <cp:lastModifiedBy>Angharad Beckett</cp:lastModifiedBy>
  <cp:revision>2</cp:revision>
  <dcterms:created xsi:type="dcterms:W3CDTF">2022-11-04T11:37:00Z</dcterms:created>
  <dcterms:modified xsi:type="dcterms:W3CDTF">2022-11-04T11:37:00Z</dcterms:modified>
</cp:coreProperties>
</file>